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DE" w:rsidRDefault="008049DE" w:rsidP="008049DE">
      <w:pPr>
        <w:pBdr>
          <w:bottom w:val="single" w:sz="4" w:space="1" w:color="auto"/>
        </w:pBdr>
        <w:rPr>
          <w:rFonts w:ascii="Century Gothic" w:hAnsi="Century Gothic"/>
          <w:b/>
          <w:i/>
        </w:rPr>
      </w:pPr>
      <w:r>
        <w:rPr>
          <w:rFonts w:ascii="Decorated035 BT" w:hAnsi="Decorated035 BT"/>
          <w:sz w:val="48"/>
          <w:szCs w:val="48"/>
        </w:rPr>
        <w:t>STEC</w:t>
      </w:r>
      <w:r>
        <w:rPr>
          <w:rFonts w:ascii="Decorated035 BT" w:hAnsi="Decorated035 BT"/>
          <w:b/>
          <w:i/>
          <w:sz w:val="32"/>
          <w:szCs w:val="32"/>
        </w:rPr>
        <w:t xml:space="preserve"> </w:t>
      </w:r>
      <w:r>
        <w:rPr>
          <w:rFonts w:ascii="Century Gothic" w:hAnsi="Century Gothic"/>
          <w:b/>
          <w:i/>
        </w:rPr>
        <w:t xml:space="preserve">Sindicato de Trabajadores de </w:t>
      </w:r>
      <w:smartTag w:uri="urn:schemas-microsoft-com:office:smarttags" w:element="PersonName">
        <w:smartTagPr>
          <w:attr w:name="ProductID" w:val="la Ense￱anza"/>
        </w:smartTagPr>
        <w:r>
          <w:rPr>
            <w:rFonts w:ascii="Century Gothic" w:hAnsi="Century Gothic"/>
            <w:b/>
            <w:i/>
          </w:rPr>
          <w:t>la Enseñanza</w:t>
        </w:r>
      </w:smartTag>
      <w:r>
        <w:rPr>
          <w:rFonts w:ascii="Century Gothic" w:hAnsi="Century Gothic"/>
          <w:b/>
          <w:i/>
        </w:rPr>
        <w:t xml:space="preserve"> de Cantabria</w:t>
      </w:r>
    </w:p>
    <w:p w:rsidR="008049DE" w:rsidRDefault="008049DE" w:rsidP="008049DE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Mártires, 3 – 3º Dcha.  39300 TORRELAVEGA.  Teléfono  942 888 074 y Fax 942 891604</w:t>
      </w:r>
    </w:p>
    <w:p w:rsidR="008049DE" w:rsidRDefault="008049DE" w:rsidP="008049DE">
      <w:pPr>
        <w:pBdr>
          <w:bottom w:val="thinThickThinSmallGap" w:sz="24" w:space="1" w:color="auto"/>
        </w:pBd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Jesús de Monasterio, 25 – 2º Dcha.  39008 SANTANDER.  Teléfono  942 238 243 y Fax 942 238243</w:t>
      </w:r>
    </w:p>
    <w:p w:rsidR="00A83290" w:rsidRPr="00735B71" w:rsidRDefault="00A83290">
      <w:pPr>
        <w:rPr>
          <w:sz w:val="16"/>
          <w:szCs w:val="16"/>
        </w:rPr>
      </w:pPr>
    </w:p>
    <w:p w:rsidR="00532D37" w:rsidRPr="00532D37" w:rsidRDefault="00532D37" w:rsidP="00A968AB">
      <w:pPr>
        <w:jc w:val="center"/>
        <w:rPr>
          <w:rFonts w:ascii="Arial Black" w:hAnsi="Arial Black"/>
          <w:sz w:val="10"/>
          <w:szCs w:val="10"/>
        </w:rPr>
      </w:pPr>
    </w:p>
    <w:p w:rsidR="00A968AB" w:rsidRPr="00735B71" w:rsidRDefault="005A0B7B" w:rsidP="00A968AB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PENSIONES 2019</w:t>
      </w:r>
    </w:p>
    <w:tbl>
      <w:tblPr>
        <w:tblpPr w:leftFromText="141" w:rightFromText="141" w:vertAnchor="text" w:horzAnchor="page" w:tblpXSpec="center" w:tblpY="14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336"/>
        <w:gridCol w:w="2967"/>
        <w:gridCol w:w="3062"/>
      </w:tblGrid>
      <w:tr w:rsidR="00A968AB" w:rsidRPr="00A968AB" w:rsidTr="00A968AB">
        <w:trPr>
          <w:cantSplit/>
          <w:trHeight w:val="808"/>
        </w:trPr>
        <w:tc>
          <w:tcPr>
            <w:tcW w:w="12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FFFFFF"/>
            </w:tcBorders>
            <w:shd w:val="clear" w:color="auto" w:fill="0C0C0C"/>
            <w:vAlign w:val="center"/>
          </w:tcPr>
          <w:p w:rsidR="00A968AB" w:rsidRPr="00A968AB" w:rsidRDefault="00A968AB" w:rsidP="00A968A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Años cotizados</w:t>
            </w:r>
          </w:p>
        </w:tc>
        <w:tc>
          <w:tcPr>
            <w:tcW w:w="1336" w:type="dxa"/>
            <w:vMerge w:val="restart"/>
            <w:tcBorders>
              <w:top w:val="single" w:sz="24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0C0C0C"/>
            <w:vAlign w:val="center"/>
          </w:tcPr>
          <w:p w:rsidR="00A968AB" w:rsidRPr="00A968AB" w:rsidRDefault="00A968AB" w:rsidP="00A968A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% del haber regulador</w:t>
            </w:r>
          </w:p>
        </w:tc>
        <w:tc>
          <w:tcPr>
            <w:tcW w:w="2967" w:type="dxa"/>
            <w:tcBorders>
              <w:top w:val="single" w:sz="24" w:space="0" w:color="auto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C0C0C"/>
            <w:vAlign w:val="center"/>
          </w:tcPr>
          <w:p w:rsidR="00A968AB" w:rsidRPr="00A968AB" w:rsidRDefault="00A968AB" w:rsidP="00A968AB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GRUPO A1</w:t>
            </w:r>
          </w:p>
          <w:p w:rsidR="00A968AB" w:rsidRPr="00A968AB" w:rsidRDefault="00A968AB" w:rsidP="00A968A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(Secundaria, EOI, Conservatorio, Catedráticos)</w:t>
            </w:r>
          </w:p>
        </w:tc>
        <w:tc>
          <w:tcPr>
            <w:tcW w:w="3062" w:type="dxa"/>
            <w:tcBorders>
              <w:top w:val="single" w:sz="24" w:space="0" w:color="auto"/>
              <w:left w:val="single" w:sz="12" w:space="0" w:color="FFFFFF"/>
              <w:bottom w:val="single" w:sz="2" w:space="0" w:color="auto"/>
              <w:right w:val="single" w:sz="24" w:space="0" w:color="auto"/>
            </w:tcBorders>
            <w:shd w:val="clear" w:color="auto" w:fill="0C0C0C"/>
            <w:vAlign w:val="center"/>
          </w:tcPr>
          <w:p w:rsidR="00A968AB" w:rsidRPr="00A968AB" w:rsidRDefault="00A968AB" w:rsidP="00A968A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GRUPO A2</w:t>
            </w:r>
          </w:p>
          <w:p w:rsidR="00A968AB" w:rsidRPr="00A968AB" w:rsidRDefault="00A968AB" w:rsidP="00A968A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(Maestros, </w:t>
            </w:r>
          </w:p>
          <w:p w:rsidR="00A968AB" w:rsidRPr="00A968AB" w:rsidRDefault="00A968AB" w:rsidP="00A968AB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Profesores Técnicos de FP)</w:t>
            </w:r>
          </w:p>
        </w:tc>
      </w:tr>
      <w:tr w:rsidR="005704BA" w:rsidRPr="00A968AB" w:rsidTr="00677BBF">
        <w:trPr>
          <w:cantSplit/>
          <w:trHeight w:val="155"/>
        </w:trPr>
        <w:tc>
          <w:tcPr>
            <w:tcW w:w="1279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FFFFFF"/>
            </w:tcBorders>
            <w:shd w:val="clear" w:color="auto" w:fill="0C0C0C"/>
          </w:tcPr>
          <w:p w:rsidR="005704BA" w:rsidRPr="00A968AB" w:rsidRDefault="005704BA" w:rsidP="00A968A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36" w:type="dxa"/>
            <w:vMerge/>
            <w:tcBorders>
              <w:top w:val="single" w:sz="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0C0C0C"/>
          </w:tcPr>
          <w:p w:rsidR="005704BA" w:rsidRPr="00A968AB" w:rsidRDefault="005704BA" w:rsidP="00A968A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5704BA" w:rsidRPr="00A968AB" w:rsidRDefault="005A0B7B" w:rsidP="00735B71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Haber regulador: 41.807,75</w:t>
            </w:r>
            <w:r w:rsidR="005704BA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€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04BA" w:rsidRPr="00A968AB" w:rsidRDefault="005704BA" w:rsidP="005A0B7B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Haber </w:t>
            </w:r>
            <w:r w:rsidR="005A0B7B">
              <w:rPr>
                <w:rFonts w:asciiTheme="minorHAnsi" w:hAnsiTheme="minorHAnsi"/>
                <w:b/>
                <w:bCs/>
                <w:sz w:val="21"/>
                <w:szCs w:val="21"/>
              </w:rPr>
              <w:t>regulador: 32.903,75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€</w:t>
            </w:r>
          </w:p>
        </w:tc>
      </w:tr>
      <w:tr w:rsidR="00E634FC" w:rsidRPr="00A968AB" w:rsidTr="00677BBF">
        <w:trPr>
          <w:cantSplit/>
          <w:trHeight w:val="155"/>
        </w:trPr>
        <w:tc>
          <w:tcPr>
            <w:tcW w:w="1279" w:type="dxa"/>
            <w:vMerge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FFFFFF"/>
            </w:tcBorders>
            <w:shd w:val="clear" w:color="auto" w:fill="0C0C0C"/>
          </w:tcPr>
          <w:p w:rsidR="00E634FC" w:rsidRPr="00A968AB" w:rsidRDefault="00E634FC" w:rsidP="00A968A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36" w:type="dxa"/>
            <w:vMerge/>
            <w:tcBorders>
              <w:top w:val="single" w:sz="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0C0C0C"/>
          </w:tcPr>
          <w:p w:rsidR="00E634FC" w:rsidRPr="00A968AB" w:rsidRDefault="00E634FC" w:rsidP="00A968A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E634FC" w:rsidRPr="00A968AB" w:rsidRDefault="00E634FC" w:rsidP="00735B71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z w:val="21"/>
                <w:szCs w:val="21"/>
              </w:rPr>
              <w:t>Mensual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Pr="00735B71">
              <w:rPr>
                <w:rFonts w:asciiTheme="minorHAnsi" w:hAnsiTheme="minorHAnsi"/>
                <w:bCs/>
                <w:sz w:val="21"/>
                <w:szCs w:val="21"/>
              </w:rPr>
              <w:t>(14 pagas completas</w:t>
            </w:r>
            <w:r w:rsidR="00667042">
              <w:rPr>
                <w:rFonts w:asciiTheme="minorHAnsi" w:hAnsiTheme="minorHAnsi"/>
                <w:bCs/>
                <w:sz w:val="21"/>
                <w:szCs w:val="21"/>
              </w:rPr>
              <w:t>. Sueldo bruto sin descuentos</w:t>
            </w:r>
            <w:r w:rsidRPr="00735B71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634FC" w:rsidRPr="00A968AB" w:rsidRDefault="00E634FC" w:rsidP="00735B71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z w:val="21"/>
                <w:szCs w:val="21"/>
              </w:rPr>
              <w:t>Mensual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(</w:t>
            </w:r>
            <w:r w:rsidRPr="00735B71">
              <w:rPr>
                <w:rFonts w:asciiTheme="minorHAnsi" w:hAnsiTheme="minorHAnsi"/>
                <w:bCs/>
                <w:sz w:val="21"/>
                <w:szCs w:val="21"/>
              </w:rPr>
              <w:t>14 pagas completas</w:t>
            </w:r>
            <w:r w:rsidR="00667042">
              <w:rPr>
                <w:rFonts w:asciiTheme="minorHAnsi" w:hAnsiTheme="minorHAnsi"/>
                <w:bCs/>
                <w:sz w:val="21"/>
                <w:szCs w:val="21"/>
              </w:rPr>
              <w:t>. Sueldo bruto sin descuentos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</w:tr>
      <w:tr w:rsidR="00E634FC" w:rsidRPr="00A968AB" w:rsidTr="00794A8E">
        <w:trPr>
          <w:trHeight w:val="300"/>
        </w:trPr>
        <w:tc>
          <w:tcPr>
            <w:tcW w:w="1279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15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snapToGrid w:val="0"/>
                <w:sz w:val="21"/>
                <w:szCs w:val="21"/>
              </w:rPr>
              <w:t>26,92%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634FC" w:rsidRPr="003720A4" w:rsidRDefault="005A0B7B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3720A4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803,90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B3B3B3"/>
            <w:vAlign w:val="center"/>
          </w:tcPr>
          <w:p w:rsidR="00E634FC" w:rsidRPr="00A968AB" w:rsidRDefault="003720A4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632,69</w:t>
            </w:r>
          </w:p>
        </w:tc>
      </w:tr>
      <w:tr w:rsidR="00E634FC" w:rsidRPr="00A968AB" w:rsidTr="00902551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30,57%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912,90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3720A4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718,48</w:t>
            </w:r>
          </w:p>
        </w:tc>
      </w:tr>
      <w:tr w:rsidR="00E634FC" w:rsidRPr="00A968AB" w:rsidTr="005E455C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17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34,23%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1.022,20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3720A4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804,50</w:t>
            </w:r>
          </w:p>
        </w:tc>
      </w:tr>
      <w:tr w:rsidR="00E634FC" w:rsidRPr="00A968AB" w:rsidTr="009E0166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18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37,88%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1.131,20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3720A4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890,28</w:t>
            </w:r>
          </w:p>
        </w:tc>
      </w:tr>
      <w:tr w:rsidR="00E634FC" w:rsidRPr="00A968AB" w:rsidTr="00BD5BDF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19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41,54%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C51CB0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1.240,49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3720A4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976,30</w:t>
            </w:r>
          </w:p>
        </w:tc>
      </w:tr>
      <w:tr w:rsidR="00E634FC" w:rsidRPr="00A968AB" w:rsidTr="000D55BD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20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snapToGrid w:val="0"/>
                <w:sz w:val="21"/>
                <w:szCs w:val="21"/>
              </w:rPr>
              <w:t>45,19%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1.349,49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B3B3B3"/>
            <w:vAlign w:val="center"/>
          </w:tcPr>
          <w:p w:rsidR="00E634FC" w:rsidRPr="00A968AB" w:rsidRDefault="003720A4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</w:t>
            </w:r>
            <w:r w:rsidR="00BF6E7E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062,09</w:t>
            </w:r>
          </w:p>
        </w:tc>
      </w:tr>
      <w:tr w:rsidR="00E634FC" w:rsidRPr="00A968AB" w:rsidTr="008652F7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48,48%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1.447,74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3D65C2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  <w:r w:rsidR="00BF6E7E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139,41</w:t>
            </w:r>
          </w:p>
        </w:tc>
      </w:tr>
      <w:tr w:rsidR="00E634FC" w:rsidRPr="00A968AB" w:rsidTr="00642407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52,50%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1.567,79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1.233,89</w:t>
            </w:r>
          </w:p>
        </w:tc>
      </w:tr>
      <w:tr w:rsidR="00E634FC" w:rsidRPr="00A968AB" w:rsidTr="00DF5CCA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56,15%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1.676,79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1.319,67</w:t>
            </w:r>
          </w:p>
        </w:tc>
      </w:tr>
      <w:tr w:rsidR="00E634FC" w:rsidRPr="00A968AB" w:rsidTr="00FE447C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59,81%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1.786,09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1.405,69</w:t>
            </w:r>
          </w:p>
        </w:tc>
      </w:tr>
      <w:tr w:rsidR="00E634FC" w:rsidRPr="00A968AB" w:rsidTr="00954553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snapToGrid w:val="0"/>
                <w:sz w:val="21"/>
                <w:szCs w:val="21"/>
              </w:rPr>
              <w:t>63,46%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1.895,0</w:t>
            </w:r>
            <w:r w:rsidR="0066704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B3B3B3"/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1.491,48</w:t>
            </w:r>
          </w:p>
        </w:tc>
      </w:tr>
      <w:tr w:rsidR="00E634FC" w:rsidRPr="00A968AB" w:rsidTr="007034F7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67,11%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5A0B7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2.004,08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1.577,26</w:t>
            </w:r>
          </w:p>
        </w:tc>
      </w:tr>
      <w:tr w:rsidR="00E634FC" w:rsidRPr="00A968AB" w:rsidTr="00C90235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70,77%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2.113,38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1.663,28</w:t>
            </w:r>
          </w:p>
        </w:tc>
      </w:tr>
      <w:tr w:rsidR="00E634FC" w:rsidRPr="00A968AB" w:rsidTr="006723B6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74,42%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2.222,38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1.749,07</w:t>
            </w:r>
          </w:p>
        </w:tc>
      </w:tr>
      <w:tr w:rsidR="00E634FC" w:rsidRPr="00A968AB" w:rsidTr="005F04F3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29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78,08%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2.331,68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1.835,09</w:t>
            </w:r>
          </w:p>
        </w:tc>
      </w:tr>
      <w:tr w:rsidR="00E634FC" w:rsidRPr="00A968AB" w:rsidTr="00D61FFC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30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snapToGrid w:val="0"/>
                <w:sz w:val="21"/>
                <w:szCs w:val="21"/>
              </w:rPr>
              <w:t>81,73%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2.440,6</w:t>
            </w:r>
            <w:r w:rsidR="0066704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B3B3B3"/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1.920,87</w:t>
            </w:r>
          </w:p>
        </w:tc>
      </w:tr>
      <w:tr w:rsidR="00E634FC" w:rsidRPr="00A968AB" w:rsidTr="00DB1EE0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31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85,38%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2.549,6</w:t>
            </w:r>
            <w:r w:rsidR="00667042">
              <w:rPr>
                <w:rFonts w:asciiTheme="minorHAnsi" w:hAnsi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2.006,66</w:t>
            </w:r>
          </w:p>
        </w:tc>
      </w:tr>
      <w:tr w:rsidR="00E634FC" w:rsidRPr="00A968AB" w:rsidTr="007E29CA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89,04%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2.658,97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2.092,68</w:t>
            </w:r>
          </w:p>
        </w:tc>
      </w:tr>
      <w:tr w:rsidR="00E634FC" w:rsidRPr="00A968AB" w:rsidTr="0063374C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33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92,69%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2.767,97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2.178,46</w:t>
            </w:r>
          </w:p>
        </w:tc>
      </w:tr>
      <w:tr w:rsidR="00E634FC" w:rsidRPr="00A968AB" w:rsidTr="00E811E8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34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snapToGrid w:val="0"/>
                <w:sz w:val="21"/>
                <w:szCs w:val="21"/>
              </w:rPr>
              <w:t>96,35%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4FC" w:rsidRPr="00A968AB" w:rsidRDefault="00AC774B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2.877,27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2.264,48</w:t>
            </w:r>
          </w:p>
        </w:tc>
      </w:tr>
      <w:tr w:rsidR="00E634FC" w:rsidRPr="00A968AB" w:rsidTr="00774875">
        <w:trPr>
          <w:trHeight w:val="300"/>
        </w:trPr>
        <w:tc>
          <w:tcPr>
            <w:tcW w:w="127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bCs/>
                <w:snapToGrid w:val="0"/>
                <w:sz w:val="21"/>
                <w:szCs w:val="21"/>
              </w:rPr>
              <w:t>35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B3B3B3"/>
            <w:vAlign w:val="center"/>
          </w:tcPr>
          <w:p w:rsidR="00E634FC" w:rsidRPr="00A968AB" w:rsidRDefault="00E634FC" w:rsidP="00C51CB0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A968AB">
              <w:rPr>
                <w:rFonts w:asciiTheme="minorHAnsi" w:hAnsiTheme="minorHAnsi"/>
                <w:b/>
                <w:snapToGrid w:val="0"/>
                <w:sz w:val="21"/>
                <w:szCs w:val="21"/>
              </w:rPr>
              <w:t>100%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634FC" w:rsidRPr="00A968AB" w:rsidRDefault="00AC774B" w:rsidP="00AC774B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2.986,2</w:t>
            </w:r>
            <w:r w:rsidR="0066704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B3B3B3"/>
            <w:vAlign w:val="center"/>
          </w:tcPr>
          <w:p w:rsidR="00E634FC" w:rsidRPr="00A968AB" w:rsidRDefault="00BF6E7E" w:rsidP="00D00F1F">
            <w:pPr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2.350,</w:t>
            </w:r>
            <w:r w:rsidR="00667042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27</w:t>
            </w:r>
          </w:p>
        </w:tc>
      </w:tr>
    </w:tbl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Default="00A968AB"/>
    <w:p w:rsidR="00A968AB" w:rsidRPr="00505A84" w:rsidRDefault="00A968AB">
      <w:pPr>
        <w:rPr>
          <w:sz w:val="10"/>
          <w:szCs w:val="10"/>
        </w:rPr>
      </w:pPr>
    </w:p>
    <w:p w:rsidR="00532D37" w:rsidRDefault="00532D37" w:rsidP="002D70A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A968AB" w:rsidRPr="00BA0B27" w:rsidRDefault="002D70A7" w:rsidP="002D70A7">
      <w:pPr>
        <w:jc w:val="both"/>
        <w:rPr>
          <w:rFonts w:asciiTheme="minorHAnsi" w:hAnsiTheme="minorHAnsi"/>
          <w:sz w:val="20"/>
          <w:szCs w:val="20"/>
        </w:rPr>
      </w:pPr>
      <w:r w:rsidRPr="00BA0B27">
        <w:rPr>
          <w:rFonts w:asciiTheme="minorHAnsi" w:hAnsiTheme="minorHAnsi"/>
          <w:b/>
          <w:sz w:val="20"/>
          <w:szCs w:val="20"/>
          <w:u w:val="single"/>
        </w:rPr>
        <w:t>PENSIÓN MÁXIMA</w:t>
      </w:r>
      <w:r w:rsidRPr="00BA0B27">
        <w:rPr>
          <w:rFonts w:asciiTheme="minorHAnsi" w:hAnsiTheme="minorHAnsi"/>
          <w:b/>
          <w:sz w:val="20"/>
          <w:szCs w:val="20"/>
        </w:rPr>
        <w:t>:</w:t>
      </w:r>
      <w:r w:rsidRPr="00BA0B27">
        <w:rPr>
          <w:rFonts w:asciiTheme="minorHAnsi" w:hAnsiTheme="minorHAnsi"/>
          <w:sz w:val="20"/>
          <w:szCs w:val="20"/>
        </w:rPr>
        <w:t xml:space="preserve"> Los funcionarios del grupo A1 superan, a partir de los 33 años de servicio, el límite de la pensión máxima, que es de</w:t>
      </w:r>
      <w:r w:rsidR="00161630">
        <w:rPr>
          <w:rFonts w:asciiTheme="minorHAnsi" w:hAnsiTheme="minorHAnsi"/>
          <w:sz w:val="20"/>
          <w:szCs w:val="20"/>
        </w:rPr>
        <w:t xml:space="preserve"> </w:t>
      </w:r>
      <w:r w:rsidR="005A0B7B">
        <w:rPr>
          <w:rFonts w:asciiTheme="minorHAnsi" w:hAnsiTheme="minorHAnsi"/>
          <w:b/>
          <w:sz w:val="20"/>
          <w:szCs w:val="20"/>
          <w:u w:val="single"/>
        </w:rPr>
        <w:t>37.231,74</w:t>
      </w:r>
      <w:r w:rsidRPr="009B0EEB">
        <w:rPr>
          <w:rFonts w:asciiTheme="minorHAnsi" w:hAnsiTheme="minorHAnsi"/>
          <w:b/>
          <w:sz w:val="20"/>
          <w:szCs w:val="20"/>
          <w:u w:val="single"/>
        </w:rPr>
        <w:t xml:space="preserve"> € al año</w:t>
      </w:r>
      <w:r w:rsidRPr="00BA0B27">
        <w:rPr>
          <w:rFonts w:asciiTheme="minorHAnsi" w:hAnsiTheme="minorHAnsi"/>
          <w:sz w:val="20"/>
          <w:szCs w:val="20"/>
        </w:rPr>
        <w:t xml:space="preserve">, a lo que corresponde </w:t>
      </w:r>
      <w:r w:rsidR="005A0B7B">
        <w:rPr>
          <w:rFonts w:asciiTheme="minorHAnsi" w:hAnsiTheme="minorHAnsi"/>
          <w:b/>
          <w:sz w:val="20"/>
          <w:szCs w:val="20"/>
          <w:u w:val="single"/>
        </w:rPr>
        <w:t>2.659,41</w:t>
      </w:r>
      <w:r w:rsidRPr="009B0EEB">
        <w:rPr>
          <w:rFonts w:asciiTheme="minorHAnsi" w:hAnsiTheme="minorHAnsi"/>
          <w:b/>
          <w:sz w:val="20"/>
          <w:szCs w:val="20"/>
          <w:u w:val="single"/>
        </w:rPr>
        <w:t xml:space="preserve"> € mensuales</w:t>
      </w:r>
      <w:r w:rsidRPr="00BA0B27">
        <w:rPr>
          <w:rFonts w:asciiTheme="minorHAnsi" w:hAnsiTheme="minorHAnsi"/>
          <w:b/>
          <w:sz w:val="20"/>
          <w:szCs w:val="20"/>
        </w:rPr>
        <w:t xml:space="preserve">. </w:t>
      </w:r>
      <w:r w:rsidRPr="00BA0B27">
        <w:rPr>
          <w:rFonts w:asciiTheme="minorHAnsi" w:hAnsiTheme="minorHAnsi"/>
          <w:sz w:val="20"/>
          <w:szCs w:val="20"/>
        </w:rPr>
        <w:t>En</w:t>
      </w:r>
      <w:r w:rsidR="00BA0B27">
        <w:rPr>
          <w:rFonts w:asciiTheme="minorHAnsi" w:hAnsiTheme="minorHAnsi"/>
          <w:sz w:val="20"/>
          <w:szCs w:val="20"/>
        </w:rPr>
        <w:t xml:space="preserve"> realidad</w:t>
      </w:r>
      <w:r w:rsidRPr="00BA0B27">
        <w:rPr>
          <w:rFonts w:asciiTheme="minorHAnsi" w:hAnsiTheme="minorHAnsi"/>
          <w:sz w:val="20"/>
          <w:szCs w:val="20"/>
        </w:rPr>
        <w:t xml:space="preserve"> esa pensión máxima se alcanza </w:t>
      </w:r>
      <w:r w:rsidR="00BA0B27">
        <w:rPr>
          <w:rFonts w:asciiTheme="minorHAnsi" w:hAnsiTheme="minorHAnsi"/>
          <w:sz w:val="20"/>
          <w:szCs w:val="20"/>
        </w:rPr>
        <w:t xml:space="preserve">prácticamente </w:t>
      </w:r>
      <w:r w:rsidRPr="00BA0B27">
        <w:rPr>
          <w:rFonts w:asciiTheme="minorHAnsi" w:hAnsiTheme="minorHAnsi"/>
          <w:sz w:val="20"/>
          <w:szCs w:val="20"/>
        </w:rPr>
        <w:t>con 32 años de servicio, ya que con esa cotización sólo se pierden 6</w:t>
      </w:r>
      <w:r w:rsidR="00BE66E3">
        <w:rPr>
          <w:rFonts w:asciiTheme="minorHAnsi" w:hAnsiTheme="minorHAnsi"/>
          <w:sz w:val="20"/>
          <w:szCs w:val="20"/>
        </w:rPr>
        <w:t>,12</w:t>
      </w:r>
      <w:r w:rsidRPr="00BA0B27">
        <w:rPr>
          <w:rFonts w:asciiTheme="minorHAnsi" w:hAnsiTheme="minorHAnsi"/>
          <w:sz w:val="20"/>
          <w:szCs w:val="20"/>
        </w:rPr>
        <w:t xml:space="preserve"> euros al año con respecto al tope de pensión.</w:t>
      </w:r>
    </w:p>
    <w:p w:rsidR="00BA0B27" w:rsidRPr="009B0EEB" w:rsidRDefault="00BA0B27" w:rsidP="002D70A7">
      <w:pPr>
        <w:jc w:val="both"/>
        <w:rPr>
          <w:sz w:val="13"/>
          <w:szCs w:val="13"/>
        </w:rPr>
      </w:pPr>
    </w:p>
    <w:p w:rsidR="00A968AB" w:rsidRDefault="00F312FC" w:rsidP="00BA0B27">
      <w:pPr>
        <w:jc w:val="both"/>
        <w:rPr>
          <w:rFonts w:asciiTheme="minorHAnsi" w:hAnsiTheme="minorHAnsi"/>
          <w:sz w:val="20"/>
          <w:szCs w:val="20"/>
        </w:rPr>
      </w:pPr>
      <w:r w:rsidRPr="00BA0B27">
        <w:rPr>
          <w:rFonts w:asciiTheme="minorHAnsi" w:hAnsiTheme="minorHAnsi"/>
          <w:b/>
          <w:sz w:val="20"/>
          <w:szCs w:val="20"/>
          <w:u w:val="single"/>
        </w:rPr>
        <w:t>PENSIÓN DE LA MUTUALIDAD DE ENSEÑANZA  PRIMARIA</w:t>
      </w:r>
      <w:r w:rsidRPr="00BA0B27">
        <w:rPr>
          <w:rFonts w:asciiTheme="minorHAnsi" w:hAnsiTheme="minorHAnsi"/>
          <w:b/>
          <w:sz w:val="20"/>
          <w:szCs w:val="20"/>
        </w:rPr>
        <w:t>:</w:t>
      </w:r>
      <w:r w:rsidRPr="00BA0B27">
        <w:rPr>
          <w:rFonts w:asciiTheme="minorHAnsi" w:hAnsiTheme="minorHAnsi"/>
          <w:sz w:val="20"/>
          <w:szCs w:val="20"/>
        </w:rPr>
        <w:t xml:space="preserve"> Los funcionarios afiliados </w:t>
      </w:r>
      <w:r w:rsidR="00BA0B27" w:rsidRPr="00BA0B27">
        <w:rPr>
          <w:rFonts w:asciiTheme="minorHAnsi" w:hAnsiTheme="minorHAnsi"/>
          <w:sz w:val="20"/>
          <w:szCs w:val="20"/>
        </w:rPr>
        <w:t>a la extinta Mutualidad de Enseñanza Primaria y que continúen cotizando a la misma, tienen derecho al abono de una pensión complementaria que se calcula en función de los trienios que se tengan cumplidos hasta el año 1978. La pensión inicial (</w:t>
      </w:r>
      <w:r w:rsidR="00BA0B27">
        <w:rPr>
          <w:rFonts w:asciiTheme="minorHAnsi" w:hAnsiTheme="minorHAnsi"/>
          <w:sz w:val="20"/>
          <w:szCs w:val="20"/>
        </w:rPr>
        <w:t>anualmente va experimentando una reducción hasta un tope mínimo final</w:t>
      </w:r>
      <w:r w:rsidR="00BA0B27" w:rsidRPr="00BA0B27">
        <w:rPr>
          <w:rFonts w:asciiTheme="minorHAnsi" w:hAnsiTheme="minorHAnsi"/>
          <w:sz w:val="20"/>
          <w:szCs w:val="20"/>
        </w:rPr>
        <w:t>) oscilará en función de los trienios que se tuvieran. Se cobra dos veces al año (con las pagas extras)</w:t>
      </w:r>
      <w:r w:rsidR="00BA0B27">
        <w:rPr>
          <w:rFonts w:asciiTheme="minorHAnsi" w:hAnsiTheme="minorHAnsi"/>
          <w:sz w:val="20"/>
          <w:szCs w:val="20"/>
        </w:rPr>
        <w:t>. Su tramitación se realiza en MUFACE.</w:t>
      </w:r>
    </w:p>
    <w:p w:rsidR="00532D37" w:rsidRDefault="00532D37" w:rsidP="00BA0B27">
      <w:pPr>
        <w:jc w:val="both"/>
        <w:rPr>
          <w:rFonts w:asciiTheme="minorHAnsi" w:hAnsiTheme="minorHAnsi"/>
          <w:sz w:val="20"/>
          <w:szCs w:val="20"/>
        </w:rPr>
      </w:pPr>
    </w:p>
    <w:p w:rsidR="00532D37" w:rsidRDefault="00532D37" w:rsidP="00BA0B2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COMPLEMENTO DE MATERNIDAD PARA FUNCIONARIAS JUBILADAS FORZOSAS A PARTIR DE 1 DE ENERO DE 2016</w:t>
      </w:r>
    </w:p>
    <w:p w:rsidR="00532D37" w:rsidRPr="00532D37" w:rsidRDefault="00532D37" w:rsidP="00BA0B27">
      <w:pPr>
        <w:jc w:val="both"/>
      </w:pPr>
      <w:r>
        <w:rPr>
          <w:rFonts w:asciiTheme="minorHAnsi" w:hAnsiTheme="minorHAnsi"/>
          <w:sz w:val="20"/>
          <w:szCs w:val="20"/>
        </w:rPr>
        <w:t>Las funcionarias que hayan tenido 2 ó más hijos</w:t>
      </w:r>
      <w:r w:rsidR="006C6918">
        <w:rPr>
          <w:rFonts w:asciiTheme="minorHAnsi" w:hAnsiTheme="minorHAnsi"/>
          <w:sz w:val="20"/>
          <w:szCs w:val="20"/>
        </w:rPr>
        <w:t>/as</w:t>
      </w:r>
      <w:r>
        <w:rPr>
          <w:rFonts w:asciiTheme="minorHAnsi" w:hAnsiTheme="minorHAnsi"/>
          <w:sz w:val="20"/>
          <w:szCs w:val="20"/>
        </w:rPr>
        <w:t xml:space="preserve"> y que se hayan jubilado forzosamente (por enfermedad o por sobrepasar los 65 años de edad) a partir del 1 de enero de 2016 disfrutarán de un complemento en su función, complemento que supone un incremento en su pensión del 5% en el caso de 2 hijos</w:t>
      </w:r>
      <w:r w:rsidR="006C6918">
        <w:rPr>
          <w:rFonts w:asciiTheme="minorHAnsi" w:hAnsiTheme="minorHAnsi"/>
          <w:sz w:val="20"/>
          <w:szCs w:val="20"/>
        </w:rPr>
        <w:t>/as</w:t>
      </w:r>
      <w:r>
        <w:rPr>
          <w:rFonts w:asciiTheme="minorHAnsi" w:hAnsiTheme="minorHAnsi"/>
          <w:sz w:val="20"/>
          <w:szCs w:val="20"/>
        </w:rPr>
        <w:t>, del 10% en el caso de 3 y de un 15% en el caso de 4 ó más hijos</w:t>
      </w:r>
      <w:r w:rsidR="006C6918">
        <w:rPr>
          <w:rFonts w:asciiTheme="minorHAnsi" w:hAnsiTheme="minorHAnsi"/>
          <w:sz w:val="20"/>
          <w:szCs w:val="20"/>
        </w:rPr>
        <w:t>/as</w:t>
      </w:r>
      <w:r>
        <w:rPr>
          <w:rFonts w:asciiTheme="minorHAnsi" w:hAnsiTheme="minorHAnsi"/>
          <w:sz w:val="20"/>
          <w:szCs w:val="20"/>
        </w:rPr>
        <w:t xml:space="preserve">. Si </w:t>
      </w:r>
      <w:r w:rsidR="006C6918">
        <w:rPr>
          <w:rFonts w:asciiTheme="minorHAnsi" w:hAnsiTheme="minorHAnsi"/>
          <w:sz w:val="20"/>
          <w:szCs w:val="20"/>
        </w:rPr>
        <w:t>dicho complemento sobrepasa</w:t>
      </w:r>
      <w:r>
        <w:rPr>
          <w:rFonts w:asciiTheme="minorHAnsi" w:hAnsiTheme="minorHAnsi"/>
          <w:sz w:val="20"/>
          <w:szCs w:val="20"/>
        </w:rPr>
        <w:t xml:space="preserve"> la cuantí</w:t>
      </w:r>
      <w:r w:rsidR="00993946">
        <w:rPr>
          <w:rFonts w:asciiTheme="minorHAnsi" w:hAnsiTheme="minorHAnsi"/>
          <w:sz w:val="20"/>
          <w:szCs w:val="20"/>
        </w:rPr>
        <w:t>a de la pensión máxima (2.</w:t>
      </w:r>
      <w:r w:rsidR="00861BA7">
        <w:rPr>
          <w:rFonts w:asciiTheme="minorHAnsi" w:hAnsiTheme="minorHAnsi"/>
          <w:sz w:val="20"/>
          <w:szCs w:val="20"/>
        </w:rPr>
        <w:t>659,41</w:t>
      </w:r>
      <w:r>
        <w:rPr>
          <w:rFonts w:asciiTheme="minorHAnsi" w:hAnsiTheme="minorHAnsi"/>
          <w:sz w:val="20"/>
          <w:szCs w:val="20"/>
        </w:rPr>
        <w:t xml:space="preserve"> € mensuales) sólo se percibirá el 50% del incremento que supere esa cuantía máxima.</w:t>
      </w:r>
      <w:bookmarkStart w:id="0" w:name="_GoBack"/>
      <w:bookmarkEnd w:id="0"/>
    </w:p>
    <w:sectPr w:rsidR="00532D37" w:rsidRPr="00532D37" w:rsidSect="00877FDC">
      <w:headerReference w:type="even" r:id="rId7"/>
      <w:headerReference w:type="default" r:id="rId8"/>
      <w:headerReference w:type="first" r:id="rId9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58" w:rsidRDefault="00321D58" w:rsidP="00505A84">
      <w:r>
        <w:separator/>
      </w:r>
    </w:p>
  </w:endnote>
  <w:endnote w:type="continuationSeparator" w:id="0">
    <w:p w:rsidR="00321D58" w:rsidRDefault="00321D58" w:rsidP="0050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orated035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58" w:rsidRDefault="00321D58" w:rsidP="00505A84">
      <w:r>
        <w:separator/>
      </w:r>
    </w:p>
  </w:footnote>
  <w:footnote w:type="continuationSeparator" w:id="0">
    <w:p w:rsidR="00321D58" w:rsidRDefault="00321D58" w:rsidP="0050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84" w:rsidRDefault="00321D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1589" o:spid="_x0000_s2050" type="#_x0000_t136" style="position:absolute;margin-left:0;margin-top:0;width:536.55pt;height:201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Decorated035 BT&quot;;font-size:1pt" string="ST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84" w:rsidRDefault="00321D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1590" o:spid="_x0000_s2051" type="#_x0000_t136" style="position:absolute;margin-left:0;margin-top:0;width:536.55pt;height:201.2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Decorated035 BT&quot;;font-size:1pt" string="ST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84" w:rsidRDefault="00321D5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1588" o:spid="_x0000_s2049" type="#_x0000_t136" style="position:absolute;margin-left:0;margin-top:0;width:536.55pt;height:201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Decorated035 BT&quot;;font-size:1pt" string="ST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8AB"/>
    <w:rsid w:val="00004718"/>
    <w:rsid w:val="00094DA0"/>
    <w:rsid w:val="000A65C1"/>
    <w:rsid w:val="000D0143"/>
    <w:rsid w:val="0013038C"/>
    <w:rsid w:val="001516BF"/>
    <w:rsid w:val="00161630"/>
    <w:rsid w:val="001A651D"/>
    <w:rsid w:val="001B2FEB"/>
    <w:rsid w:val="0022458A"/>
    <w:rsid w:val="00227EB3"/>
    <w:rsid w:val="002D3D47"/>
    <w:rsid w:val="002D70A7"/>
    <w:rsid w:val="002E5542"/>
    <w:rsid w:val="00321D58"/>
    <w:rsid w:val="003631A5"/>
    <w:rsid w:val="003720A4"/>
    <w:rsid w:val="00377CEA"/>
    <w:rsid w:val="00393C79"/>
    <w:rsid w:val="003D0EFE"/>
    <w:rsid w:val="003D65C2"/>
    <w:rsid w:val="003E71DB"/>
    <w:rsid w:val="003F07DE"/>
    <w:rsid w:val="003F4633"/>
    <w:rsid w:val="00460BA5"/>
    <w:rsid w:val="004A0C75"/>
    <w:rsid w:val="004D3FF9"/>
    <w:rsid w:val="004E3F95"/>
    <w:rsid w:val="00500F8F"/>
    <w:rsid w:val="00505A84"/>
    <w:rsid w:val="0051283B"/>
    <w:rsid w:val="0052518C"/>
    <w:rsid w:val="00532D37"/>
    <w:rsid w:val="005704BA"/>
    <w:rsid w:val="005A0B7B"/>
    <w:rsid w:val="005D7584"/>
    <w:rsid w:val="00667042"/>
    <w:rsid w:val="006A3708"/>
    <w:rsid w:val="006C6918"/>
    <w:rsid w:val="006F2C92"/>
    <w:rsid w:val="00710B53"/>
    <w:rsid w:val="0071342E"/>
    <w:rsid w:val="00735B71"/>
    <w:rsid w:val="007501B3"/>
    <w:rsid w:val="00792B8A"/>
    <w:rsid w:val="00793712"/>
    <w:rsid w:val="007A2A24"/>
    <w:rsid w:val="007B407E"/>
    <w:rsid w:val="007B7966"/>
    <w:rsid w:val="008049DE"/>
    <w:rsid w:val="00861BA7"/>
    <w:rsid w:val="00877FDC"/>
    <w:rsid w:val="008B0742"/>
    <w:rsid w:val="009444C6"/>
    <w:rsid w:val="00993946"/>
    <w:rsid w:val="009B0EEB"/>
    <w:rsid w:val="00A61DD5"/>
    <w:rsid w:val="00A83290"/>
    <w:rsid w:val="00A968AB"/>
    <w:rsid w:val="00AC774B"/>
    <w:rsid w:val="00B169ED"/>
    <w:rsid w:val="00B2507A"/>
    <w:rsid w:val="00B9061B"/>
    <w:rsid w:val="00BA0B27"/>
    <w:rsid w:val="00BA16E3"/>
    <w:rsid w:val="00BB49E8"/>
    <w:rsid w:val="00BC4993"/>
    <w:rsid w:val="00BE66E3"/>
    <w:rsid w:val="00BF6E7E"/>
    <w:rsid w:val="00C0746D"/>
    <w:rsid w:val="00C46A31"/>
    <w:rsid w:val="00C51CB0"/>
    <w:rsid w:val="00C9565B"/>
    <w:rsid w:val="00CC6F01"/>
    <w:rsid w:val="00D00BAE"/>
    <w:rsid w:val="00D00F1F"/>
    <w:rsid w:val="00D44852"/>
    <w:rsid w:val="00D71DD7"/>
    <w:rsid w:val="00DF03BF"/>
    <w:rsid w:val="00E25A55"/>
    <w:rsid w:val="00E32661"/>
    <w:rsid w:val="00E634FC"/>
    <w:rsid w:val="00E673A1"/>
    <w:rsid w:val="00E85EEB"/>
    <w:rsid w:val="00EB5CCA"/>
    <w:rsid w:val="00EF40FC"/>
    <w:rsid w:val="00F312FC"/>
    <w:rsid w:val="00F439E1"/>
    <w:rsid w:val="00F65210"/>
    <w:rsid w:val="00FA403D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EFB7E695-406B-4AA6-B08F-B24F018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05A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5A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5A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5A8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0B01-59A5-4939-B6F8-C1C8062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Stec</cp:lastModifiedBy>
  <cp:revision>9</cp:revision>
  <cp:lastPrinted>2018-08-28T08:55:00Z</cp:lastPrinted>
  <dcterms:created xsi:type="dcterms:W3CDTF">2019-01-21T10:23:00Z</dcterms:created>
  <dcterms:modified xsi:type="dcterms:W3CDTF">2019-01-22T12:16:00Z</dcterms:modified>
</cp:coreProperties>
</file>